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5755" w14:textId="77777777" w:rsidR="005C66FE" w:rsidRPr="005C66FE" w:rsidRDefault="005C66FE" w:rsidP="005C66FE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iCs/>
          <w:color w:val="C00000"/>
          <w:sz w:val="36"/>
          <w:szCs w:val="36"/>
          <w:bdr w:val="none" w:sz="0" w:space="0" w:color="auto" w:frame="1"/>
          <w:lang w:val="uk-UA" w:eastAsia="ru-RU"/>
        </w:rPr>
      </w:pPr>
      <w:r w:rsidRPr="005C66FE">
        <w:rPr>
          <w:rFonts w:ascii="Times New Roman" w:eastAsia="Times New Roman" w:hAnsi="Times New Roman" w:cs="Times New Roman"/>
          <w:b/>
          <w:iCs/>
          <w:color w:val="C00000"/>
          <w:sz w:val="36"/>
          <w:szCs w:val="36"/>
          <w:bdr w:val="none" w:sz="0" w:space="0" w:color="auto" w:frame="1"/>
          <w:lang w:val="uk-UA" w:eastAsia="ru-RU"/>
        </w:rPr>
        <w:t>ІНДИВІДУАЛЬНА ФОРМА НАВЧАННЯ</w:t>
      </w:r>
    </w:p>
    <w:p w14:paraId="7CCE1864" w14:textId="77777777" w:rsidR="005C66FE" w:rsidRDefault="005C66FE" w:rsidP="00E36A08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val="uk-UA" w:eastAsia="ru-RU"/>
        </w:rPr>
      </w:pPr>
    </w:p>
    <w:p w14:paraId="098A9D3B" w14:textId="77777777" w:rsidR="00E36A08" w:rsidRPr="00E36A08" w:rsidRDefault="00E36A08" w:rsidP="00E36A08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val="uk-UA" w:eastAsia="ru-RU"/>
        </w:rPr>
      </w:pPr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Часом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життєві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обставини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вносять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серйозні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корективи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процес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й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переривають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його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проте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повна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загальна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середня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освіта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Україні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–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обов’язкова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й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гарантується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53-ю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статтею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Конституції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. У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яких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випадках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можна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перейти на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індивідуальну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форму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, і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що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цього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мають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зробити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батьки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адміністрація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навчального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закладу,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з’ясовувала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“Нова </w:t>
      </w:r>
      <w:proofErr w:type="spellStart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>українська</w:t>
      </w:r>
      <w:proofErr w:type="spellEnd"/>
      <w:r w:rsidRPr="00E36A08"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eastAsia="ru-RU"/>
        </w:rPr>
        <w:t xml:space="preserve"> школа”</w:t>
      </w:r>
      <w:r>
        <w:rPr>
          <w:rFonts w:ascii="Times New Roman" w:eastAsia="Times New Roman" w:hAnsi="Times New Roman" w:cs="Times New Roman"/>
          <w:b/>
          <w:iCs/>
          <w:color w:val="010101"/>
          <w:sz w:val="36"/>
          <w:szCs w:val="36"/>
          <w:bdr w:val="none" w:sz="0" w:space="0" w:color="auto" w:frame="1"/>
          <w:lang w:val="uk-UA" w:eastAsia="ru-RU"/>
        </w:rPr>
        <w:t xml:space="preserve"> </w:t>
      </w:r>
    </w:p>
    <w:p w14:paraId="25BE9F4D" w14:textId="77777777" w:rsidR="00E36A08" w:rsidRDefault="00E36A08" w:rsidP="00E36A08">
      <w:pPr>
        <w:spacing w:after="0" w:line="240" w:lineRule="auto"/>
        <w:ind w:left="-284" w:right="900"/>
        <w:rPr>
          <w:rFonts w:ascii="ProximaNova" w:eastAsia="Times New Roman" w:hAnsi="ProximaNova" w:cs="Times New Roman"/>
          <w:i/>
          <w:iCs/>
          <w:color w:val="010101"/>
          <w:sz w:val="30"/>
          <w:szCs w:val="30"/>
          <w:bdr w:val="none" w:sz="0" w:space="0" w:color="auto" w:frame="1"/>
          <w:lang w:eastAsia="ru-RU"/>
        </w:rPr>
      </w:pPr>
    </w:p>
    <w:p w14:paraId="1CF20FA9" w14:textId="77777777" w:rsidR="00E36A08" w:rsidRPr="00E36A08" w:rsidRDefault="00E36A08" w:rsidP="00E36A08">
      <w:pPr>
        <w:spacing w:after="0" w:line="240" w:lineRule="auto"/>
        <w:ind w:left="-284" w:right="900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</w:p>
    <w:p w14:paraId="0D4F9333" w14:textId="77777777" w:rsidR="00E36A08" w:rsidRDefault="00000000" w:rsidP="00E36A08">
      <w:pPr>
        <w:spacing w:after="0" w:line="240" w:lineRule="auto"/>
        <w:ind w:left="-284" w:right="900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  <w:hyperlink r:id="rId5" w:anchor="Text" w:tgtFrame="_blank" w:history="1">
        <w:proofErr w:type="spellStart"/>
        <w:r w:rsidR="00E36A08" w:rsidRPr="00E36A08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ru-RU"/>
          </w:rPr>
          <w:t>Індивідуальна</w:t>
        </w:r>
        <w:proofErr w:type="spellEnd"/>
        <w:r w:rsidR="00E36A08" w:rsidRPr="00E36A08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ru-RU"/>
          </w:rPr>
          <w:t xml:space="preserve"> форма </w:t>
        </w:r>
        <w:proofErr w:type="spellStart"/>
        <w:r w:rsidR="00E36A08" w:rsidRPr="00E36A08">
          <w:rPr>
            <w:rFonts w:ascii="ProximaNova" w:eastAsia="Times New Roman" w:hAnsi="ProximaNova" w:cs="Times New Roman"/>
            <w:color w:val="A9C248"/>
            <w:sz w:val="30"/>
            <w:szCs w:val="30"/>
            <w:bdr w:val="none" w:sz="0" w:space="0" w:color="auto" w:frame="1"/>
            <w:lang w:eastAsia="ru-RU"/>
          </w:rPr>
          <w:t>навчання</w:t>
        </w:r>
        <w:proofErr w:type="spellEnd"/>
      </w:hyperlink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 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дає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змогу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опанувати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навчальну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програму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в особливому,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індивідуальному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для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дитини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порядку.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Законодавство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визначає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три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різновиди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індивідуального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 xml:space="preserve"> </w:t>
      </w:r>
      <w:proofErr w:type="spellStart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навчання</w:t>
      </w:r>
      <w:proofErr w:type="spellEnd"/>
      <w:r w:rsidR="00E36A08" w:rsidRPr="00E36A08"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  <w:t>:</w:t>
      </w:r>
    </w:p>
    <w:p w14:paraId="40CEC5F9" w14:textId="77777777" w:rsidR="00E36A08" w:rsidRPr="00E36A08" w:rsidRDefault="00E36A08" w:rsidP="00E36A08">
      <w:pPr>
        <w:spacing w:after="0" w:line="240" w:lineRule="auto"/>
        <w:ind w:left="-284" w:right="900"/>
        <w:rPr>
          <w:rFonts w:ascii="ProximaNova" w:eastAsia="Times New Roman" w:hAnsi="ProximaNova" w:cs="Times New Roman"/>
          <w:color w:val="141414"/>
          <w:sz w:val="30"/>
          <w:szCs w:val="30"/>
          <w:lang w:eastAsia="ru-RU"/>
        </w:rPr>
      </w:pPr>
    </w:p>
    <w:p w14:paraId="578DAF02" w14:textId="77777777" w:rsidR="00E36A08" w:rsidRPr="00E36A08" w:rsidRDefault="00E36A08" w:rsidP="00E36A08">
      <w:pPr>
        <w:numPr>
          <w:ilvl w:val="0"/>
          <w:numId w:val="1"/>
        </w:numPr>
        <w:spacing w:after="0" w:line="360" w:lineRule="auto"/>
        <w:ind w:left="0"/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</w:pPr>
      <w:proofErr w:type="spellStart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>екстернат</w:t>
      </w:r>
      <w:proofErr w:type="spellEnd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>;</w:t>
      </w:r>
    </w:p>
    <w:p w14:paraId="717FB97D" w14:textId="77777777" w:rsidR="00E36A08" w:rsidRPr="00E36A08" w:rsidRDefault="00E36A08" w:rsidP="00E36A08">
      <w:pPr>
        <w:numPr>
          <w:ilvl w:val="0"/>
          <w:numId w:val="1"/>
        </w:numPr>
        <w:spacing w:after="0" w:line="360" w:lineRule="auto"/>
        <w:ind w:left="0"/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</w:pPr>
      <w:proofErr w:type="spellStart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>сімейна</w:t>
      </w:r>
      <w:proofErr w:type="spellEnd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 xml:space="preserve"> (</w:t>
      </w:r>
      <w:proofErr w:type="spellStart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>домашня</w:t>
      </w:r>
      <w:proofErr w:type="spellEnd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>) форма;</w:t>
      </w:r>
    </w:p>
    <w:p w14:paraId="4BFBE17A" w14:textId="77777777" w:rsidR="00E36A08" w:rsidRDefault="00E36A08" w:rsidP="00E36A08">
      <w:pPr>
        <w:numPr>
          <w:ilvl w:val="0"/>
          <w:numId w:val="1"/>
        </w:numPr>
        <w:spacing w:after="0" w:line="360" w:lineRule="auto"/>
        <w:ind w:left="0"/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</w:pPr>
      <w:proofErr w:type="spellStart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>педагогічний</w:t>
      </w:r>
      <w:proofErr w:type="spellEnd"/>
      <w:r w:rsidRPr="00E36A08"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  <w:t xml:space="preserve"> патронаж.</w:t>
      </w:r>
    </w:p>
    <w:p w14:paraId="1905E2E9" w14:textId="77777777" w:rsidR="00E36A08" w:rsidRPr="00E36A08" w:rsidRDefault="00E36A08" w:rsidP="00E36A08">
      <w:pPr>
        <w:numPr>
          <w:ilvl w:val="0"/>
          <w:numId w:val="1"/>
        </w:numPr>
        <w:spacing w:after="0" w:line="360" w:lineRule="auto"/>
        <w:ind w:left="0"/>
        <w:rPr>
          <w:rFonts w:ascii="ProximaNova" w:eastAsia="Times New Roman" w:hAnsi="ProximaNova" w:cs="Times New Roman"/>
          <w:b/>
          <w:color w:val="010101"/>
          <w:sz w:val="30"/>
          <w:szCs w:val="30"/>
          <w:lang w:eastAsia="ru-RU"/>
        </w:rPr>
      </w:pPr>
    </w:p>
    <w:p w14:paraId="11DEB31A" w14:textId="77777777" w:rsidR="00E36A08" w:rsidRPr="00E36A08" w:rsidRDefault="00E36A08" w:rsidP="00E36A08">
      <w:pPr>
        <w:spacing w:after="375" w:line="240" w:lineRule="auto"/>
        <w:ind w:left="-142" w:right="900" w:firstLine="142"/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</w:pPr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Перевести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учнів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на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індивідуальне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навчання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можливо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як </w:t>
      </w:r>
      <w:proofErr w:type="gram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на початку</w:t>
      </w:r>
      <w:proofErr w:type="gram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, так і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протягом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навчального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року. Але для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екстернату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і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сімейної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форми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є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обмеження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– не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пізніше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ніж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за 3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місяці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до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річного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оцінювання</w:t>
      </w:r>
      <w:proofErr w:type="spellEnd"/>
      <w:r w:rsidRPr="00E36A08">
        <w:rPr>
          <w:rFonts w:ascii="ProximaNova" w:eastAsia="Times New Roman" w:hAnsi="ProximaNova" w:cs="Times New Roman"/>
          <w:b/>
          <w:i/>
          <w:color w:val="C00000"/>
          <w:sz w:val="30"/>
          <w:szCs w:val="30"/>
          <w:lang w:eastAsia="ru-RU"/>
        </w:rPr>
        <w:t>.</w:t>
      </w:r>
    </w:p>
    <w:p w14:paraId="2789B79A" w14:textId="77777777" w:rsidR="00E36A08" w:rsidRPr="00E36A08" w:rsidRDefault="00E36A08" w:rsidP="00E36A08">
      <w:pPr>
        <w:spacing w:after="375" w:line="240" w:lineRule="auto"/>
        <w:ind w:left="-142" w:right="900" w:firstLine="142"/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</w:pPr>
      <w:proofErr w:type="spellStart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>Тож</w:t>
      </w:r>
      <w:proofErr w:type="spellEnd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>розберімося</w:t>
      </w:r>
      <w:proofErr w:type="spellEnd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 xml:space="preserve"> з </w:t>
      </w:r>
      <w:proofErr w:type="spellStart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>кожним</w:t>
      </w:r>
      <w:proofErr w:type="spellEnd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 xml:space="preserve"> </w:t>
      </w:r>
      <w:proofErr w:type="spellStart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>різновидом</w:t>
      </w:r>
      <w:proofErr w:type="spellEnd"/>
      <w:r w:rsidRPr="00E36A08">
        <w:rPr>
          <w:rFonts w:ascii="ProximaNova" w:eastAsia="Times New Roman" w:hAnsi="ProximaNova" w:cs="Times New Roman"/>
          <w:b/>
          <w:color w:val="141414"/>
          <w:sz w:val="30"/>
          <w:szCs w:val="30"/>
          <w:lang w:eastAsia="ru-RU"/>
        </w:rPr>
        <w:t>.</w:t>
      </w:r>
    </w:p>
    <w:p w14:paraId="69554989" w14:textId="77777777" w:rsidR="00E36A08" w:rsidRPr="00E36A08" w:rsidRDefault="00E36A08" w:rsidP="00E36A08">
      <w:pPr>
        <w:spacing w:after="525" w:line="240" w:lineRule="auto"/>
        <w:ind w:left="900" w:right="900"/>
        <w:jc w:val="center"/>
        <w:outlineLvl w:val="3"/>
        <w:rPr>
          <w:rFonts w:ascii="ProximaNova" w:eastAsia="Times New Roman" w:hAnsi="ProximaNova" w:cs="Times New Roman"/>
          <w:b/>
          <w:bCs/>
          <w:color w:val="C00000"/>
          <w:sz w:val="30"/>
          <w:szCs w:val="30"/>
          <w:lang w:eastAsia="ru-RU"/>
        </w:rPr>
      </w:pPr>
      <w:r w:rsidRPr="00E36A08">
        <w:rPr>
          <w:rFonts w:ascii="ProximaNova" w:eastAsia="Times New Roman" w:hAnsi="ProximaNova" w:cs="Times New Roman"/>
          <w:b/>
          <w:bCs/>
          <w:color w:val="C00000"/>
          <w:sz w:val="30"/>
          <w:szCs w:val="30"/>
          <w:lang w:eastAsia="ru-RU"/>
        </w:rPr>
        <w:t>ЕКСТЕРНАТ</w:t>
      </w:r>
    </w:p>
    <w:p w14:paraId="07F30EA0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Обираючи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 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екстернат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учні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опановують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увесь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матеріал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самостійно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й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віддалено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після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чого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їхні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знання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оцінити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школі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під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час 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щорічної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атестації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.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форму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часто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обирають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люди,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виїжджають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за кордон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або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хочуть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швидше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пройти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програму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окремих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предметів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навіть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кількох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класів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і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отримати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український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атестат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1284BB49" w14:textId="77777777" w:rsidR="00E36A08" w:rsidRPr="00E36A08" w:rsidRDefault="00E36A08" w:rsidP="00E36A08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gram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До прикладу</w:t>
      </w:r>
      <w:proofErr w:type="gram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це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бути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професійно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займаються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мистецтвом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спортом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або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ж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високий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навчальний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потенціал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і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lastRenderedPageBreak/>
        <w:t>бажають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прискорено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закінчити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школу.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екстернат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організовувати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іноземців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осіб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без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громадянства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постійно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проживають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Україні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біженців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та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громадян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України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проживають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непідконтрольних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територіях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лінії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розмежування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0911AAFA" w14:textId="77777777" w:rsid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Документи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необхідні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зарахування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екстернат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:</w:t>
      </w:r>
    </w:p>
    <w:p w14:paraId="05D8E8EE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</w:p>
    <w:p w14:paraId="6D6C9719" w14:textId="77777777" w:rsidR="00E36A08" w:rsidRPr="00E36A08" w:rsidRDefault="00E36A08" w:rsidP="00E36A08">
      <w:pPr>
        <w:numPr>
          <w:ilvl w:val="0"/>
          <w:numId w:val="2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заява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від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одного з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опікунів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)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або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самої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дитини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якщо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вона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повнолітня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;</w:t>
      </w:r>
    </w:p>
    <w:p w14:paraId="79ED9376" w14:textId="77777777" w:rsidR="00E36A08" w:rsidRPr="00E36A08" w:rsidRDefault="00E36A08" w:rsidP="00E36A08">
      <w:pPr>
        <w:numPr>
          <w:ilvl w:val="0"/>
          <w:numId w:val="2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свідоцтво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про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народження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або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паспорт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дитини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копія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);</w:t>
      </w:r>
    </w:p>
    <w:p w14:paraId="2A3F1FF6" w14:textId="77777777" w:rsidR="00E36A08" w:rsidRPr="00E36A08" w:rsidRDefault="00E36A08" w:rsidP="00E36A08">
      <w:pPr>
        <w:numPr>
          <w:ilvl w:val="0"/>
          <w:numId w:val="2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медична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довідка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086-1/о;</w:t>
      </w:r>
    </w:p>
    <w:p w14:paraId="52B9F137" w14:textId="77777777" w:rsidR="00E36A08" w:rsidRPr="00E36A08" w:rsidRDefault="00E36A08" w:rsidP="00E36A08">
      <w:pPr>
        <w:numPr>
          <w:ilvl w:val="0"/>
          <w:numId w:val="2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документ,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який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підтверджує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наявність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 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підстави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 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організації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екстернатної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форми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наприклад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, лист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від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федерації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клубного спорту);</w:t>
      </w:r>
    </w:p>
    <w:p w14:paraId="4267A472" w14:textId="77777777" w:rsidR="00E36A08" w:rsidRPr="00E36A08" w:rsidRDefault="00E36A08" w:rsidP="00E36A08">
      <w:pPr>
        <w:numPr>
          <w:ilvl w:val="0"/>
          <w:numId w:val="2"/>
        </w:numPr>
        <w:spacing w:after="600" w:line="360" w:lineRule="auto"/>
        <w:ind w:left="-142" w:right="-284" w:firstLine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документ про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освіту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якщо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він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є (в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протилежному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разі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школа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спершу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проводитиме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оцінювання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рівня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знань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учня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).</w:t>
      </w:r>
    </w:p>
    <w:p w14:paraId="1D1C7E9C" w14:textId="77777777" w:rsidR="00E36A08" w:rsidRPr="00E36A08" w:rsidRDefault="00E36A08" w:rsidP="00E36A08">
      <w:pPr>
        <w:spacing w:after="525" w:line="240" w:lineRule="auto"/>
        <w:ind w:left="-142" w:right="-284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СІМЕЙНА ФОРМА</w:t>
      </w:r>
    </w:p>
    <w:p w14:paraId="6931EE4D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Сімейна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 форма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покладає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організацію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освітнього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процесу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законних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представників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),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хочуть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і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дітей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удома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.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Ця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форма стала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рятівним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колом для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багатьох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дітей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особливими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освітніми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потребами,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поки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інклюзія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перебуває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початковому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етапі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впровадження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3B8FF2B0" w14:textId="77777777" w:rsidR="00E36A08" w:rsidRPr="00E36A08" w:rsidRDefault="00E36A08" w:rsidP="00E36A08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цією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можливістю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користуються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сім’ї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певних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причини не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хочуть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аби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дитина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перебувала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школі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(через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булінг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неможливість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індивідуальної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освітньої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траєкторії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тощо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). І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хоча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часто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ці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батьки не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педагогічної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освіти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– вони максимально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включені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gram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 потреби</w:t>
      </w:r>
      <w:proofErr w:type="gram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своїх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дітей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чітко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уявляють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їхні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можливості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інтереси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та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здібності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особливості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мотивації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1C5E274D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бажання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й за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власний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кошт батьки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залучати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інших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осіб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учителів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репетиторів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тьюторів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тощо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) до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дитини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.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Водночас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оцінювати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знання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все-таки буде школа, і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відбуватиметься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lastRenderedPageBreak/>
        <w:t>оцінювання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 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посеместрово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 (раз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року)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або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частіше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бажання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631674E2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Документи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знадобляться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оформлення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сімейного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домашнього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)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:</w:t>
      </w:r>
    </w:p>
    <w:p w14:paraId="6F8EFFFA" w14:textId="77777777" w:rsidR="00E36A08" w:rsidRPr="00E36A08" w:rsidRDefault="00E36A08" w:rsidP="00E36A08">
      <w:pPr>
        <w:numPr>
          <w:ilvl w:val="0"/>
          <w:numId w:val="3"/>
        </w:numPr>
        <w:spacing w:after="600" w:line="240" w:lineRule="auto"/>
        <w:ind w:left="-142" w:right="-284" w:firstLine="0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заява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від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дитини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.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Підставою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автоматично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вважається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письмово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висловлене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бажання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організувати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цю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форму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своєї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дитини</w:t>
      </w:r>
      <w:proofErr w:type="spellEnd"/>
      <w:r w:rsidRPr="00E36A0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.</w:t>
      </w:r>
    </w:p>
    <w:p w14:paraId="5BFF2004" w14:textId="77777777" w:rsidR="00E36A08" w:rsidRPr="00E36A08" w:rsidRDefault="00E36A08" w:rsidP="00E36A08">
      <w:pPr>
        <w:spacing w:after="525" w:line="240" w:lineRule="auto"/>
        <w:ind w:left="-142" w:right="-284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ПЕДАГОГІЧНИЙ ПАТРОНАЖ</w:t>
      </w:r>
    </w:p>
    <w:p w14:paraId="657C1F94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Педагогічний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патронаж</w:t>
      </w:r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 –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це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індивідуальне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до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якого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вчителі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відміну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від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інших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форм,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залучені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всіх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етапах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.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Найчастіше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різновид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підходить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дітям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за станом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здоров’я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не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щодня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відвідувати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школу й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навчатися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колективі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65D460B5" w14:textId="77777777" w:rsidR="00E36A08" w:rsidRPr="00E36A08" w:rsidRDefault="00E36A08" w:rsidP="00E36A08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Особливість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цієї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форми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тому,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що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дитина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не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лише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регулярно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займається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з учителями, але й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періодично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долучається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учнівського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колективу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соціалізації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наприклад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під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час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класних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і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загальношкільних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заходів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),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має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право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користуватися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всією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шкільною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інфраструктурою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бібліотекою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спортзалом,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їдальнею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тощо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),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розраховувати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психологічний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супровід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1F8EE7D5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Педагогічний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патронаж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організовують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для:</w:t>
      </w:r>
    </w:p>
    <w:p w14:paraId="48609552" w14:textId="77777777" w:rsidR="00E36A08" w:rsidRPr="00E36A08" w:rsidRDefault="00E36A08" w:rsidP="00E36A08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осіб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до 18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років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проживають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у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населених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пунктах (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або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перебувають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під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вартою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чи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засуджені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позбавлення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волі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), де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кількість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не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дозволяє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утворити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клас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–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тобто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менше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п‘яти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осіб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;</w:t>
      </w:r>
    </w:p>
    <w:p w14:paraId="3C4D3472" w14:textId="77777777" w:rsidR="00E36A08" w:rsidRPr="00E36A08" w:rsidRDefault="00E36A08" w:rsidP="00E36A08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дітей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перебувають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стаціонарному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лікуванні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;</w:t>
      </w:r>
    </w:p>
    <w:p w14:paraId="78E1C217" w14:textId="77777777" w:rsidR="00E36A08" w:rsidRPr="00E36A08" w:rsidRDefault="00E36A08" w:rsidP="00E36A08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дітей-біженців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дітей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іноземців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та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осіб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без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громадянства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утримуються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пунктах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тимчасового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перебування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07DFF3E8" w14:textId="77777777" w:rsid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Кількість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навчальних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годин на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тиждень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педагогічному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патронажі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така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:</w:t>
      </w:r>
    </w:p>
    <w:p w14:paraId="359CAF06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</w:p>
    <w:p w14:paraId="56F3454E" w14:textId="77777777" w:rsidR="00E36A08" w:rsidRPr="00E36A08" w:rsidRDefault="00E36A08" w:rsidP="00E36A08">
      <w:pPr>
        <w:numPr>
          <w:ilvl w:val="0"/>
          <w:numId w:val="4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10 годин 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1–4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класів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;</w:t>
      </w:r>
    </w:p>
    <w:p w14:paraId="4DB6B028" w14:textId="77777777" w:rsidR="00E36A08" w:rsidRPr="00E36A08" w:rsidRDefault="00E36A08" w:rsidP="00E36A08">
      <w:pPr>
        <w:numPr>
          <w:ilvl w:val="0"/>
          <w:numId w:val="4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14 годин 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5–9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класів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;</w:t>
      </w:r>
    </w:p>
    <w:p w14:paraId="7490BACE" w14:textId="77777777" w:rsidR="00E36A08" w:rsidRPr="00E36A08" w:rsidRDefault="00E36A08" w:rsidP="00E36A08">
      <w:pPr>
        <w:numPr>
          <w:ilvl w:val="0"/>
          <w:numId w:val="4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16 годин для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учнів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10–11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класів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.</w:t>
      </w:r>
    </w:p>
    <w:p w14:paraId="6F5B6D97" w14:textId="77777777" w:rsid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lastRenderedPageBreak/>
        <w:t>Документи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потрібно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надати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навчальному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закладу для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організації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педагогічного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патронажу:</w:t>
      </w:r>
    </w:p>
    <w:p w14:paraId="21882455" w14:textId="77777777" w:rsidR="00E36A08" w:rsidRP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</w:p>
    <w:p w14:paraId="7EE688B2" w14:textId="77777777" w:rsidR="00E36A08" w:rsidRPr="00E36A08" w:rsidRDefault="00E36A08" w:rsidP="00E36A08">
      <w:pPr>
        <w:numPr>
          <w:ilvl w:val="0"/>
          <w:numId w:val="5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заява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від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одного з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;</w:t>
      </w:r>
    </w:p>
    <w:p w14:paraId="6D17213A" w14:textId="77777777" w:rsidR="00E36A08" w:rsidRPr="00E36A08" w:rsidRDefault="00E36A08" w:rsidP="00E36A08">
      <w:pPr>
        <w:numPr>
          <w:ilvl w:val="0"/>
          <w:numId w:val="5"/>
        </w:numPr>
        <w:spacing w:after="0" w:line="360" w:lineRule="auto"/>
        <w:ind w:left="-142" w:right="-284" w:firstLine="0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довідка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висновок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)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лікарсько-консультаційної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комісії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про стан </w:t>
      </w:r>
      <w:proofErr w:type="spellStart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здоров’я</w:t>
      </w:r>
      <w:proofErr w:type="spellEnd"/>
      <w:r w:rsidRPr="00E36A0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.</w:t>
      </w:r>
    </w:p>
    <w:p w14:paraId="2B62A4FC" w14:textId="77777777" w:rsidR="00E36A08" w:rsidRPr="00E36A08" w:rsidRDefault="00E36A08" w:rsidP="00E36A08">
      <w:pPr>
        <w:pStyle w:val="a7"/>
        <w:numPr>
          <w:ilvl w:val="0"/>
          <w:numId w:val="6"/>
        </w:numPr>
        <w:spacing w:after="0" w:line="276" w:lineRule="auto"/>
        <w:ind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Якщо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переведення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педагогічний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патронаж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дитина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навчалася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школі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 </w:t>
      </w:r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за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місцем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проживання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, то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вчителі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приходитимуть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до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неї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додому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 за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розкладом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узгодженим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із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батьками. </w:t>
      </w:r>
    </w:p>
    <w:p w14:paraId="02601538" w14:textId="77777777" w:rsidR="00E36A08" w:rsidRPr="00E36A08" w:rsidRDefault="00E36A08" w:rsidP="00E36A08">
      <w:pPr>
        <w:pStyle w:val="a7"/>
        <w:numPr>
          <w:ilvl w:val="0"/>
          <w:numId w:val="6"/>
        </w:numPr>
        <w:spacing w:after="0" w:line="276" w:lineRule="auto"/>
        <w:ind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Якщо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ж школа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розташована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далеко (а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переходити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іншу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ближчу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не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хочеться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), то тут уже як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домовитесь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: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дитина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може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приїжджати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у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визначені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аби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займатися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очно, 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використовувати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засоби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для онлайн-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3B1AA544" w14:textId="77777777" w:rsidR="00E36A08" w:rsidRPr="00E36A08" w:rsidRDefault="00E36A08" w:rsidP="00E36A08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Варто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додати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що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положення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про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індивідуальне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передбачає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можливість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поєднувати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різні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форми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наприклад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екстернат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у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поєднанні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однією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інституційних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форм,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сімейною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(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домашньою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) формою,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педагогічним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патронажем).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Це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може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бути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виходом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якщо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учень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чи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учениця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хоче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самостійно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вивчати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тільки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певні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предмети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 xml:space="preserve">, а не </w:t>
      </w:r>
      <w:proofErr w:type="spellStart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всі</w:t>
      </w:r>
      <w:proofErr w:type="spellEnd"/>
      <w:r w:rsidRPr="00E36A08">
        <w:rPr>
          <w:rFonts w:ascii="Times New Roman" w:eastAsia="Times New Roman" w:hAnsi="Times New Roman" w:cs="Times New Roman"/>
          <w:b/>
          <w:color w:val="141414"/>
          <w:sz w:val="32"/>
          <w:szCs w:val="32"/>
          <w:lang w:eastAsia="ru-RU"/>
        </w:rPr>
        <w:t>.</w:t>
      </w:r>
    </w:p>
    <w:p w14:paraId="0842E3B9" w14:textId="77777777" w:rsid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Ця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можливість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реалізується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через 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індивідуальний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навчальний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план</w:t>
      </w:r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який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формують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для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учня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школі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обов’язково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консультуючись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хоча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б з одним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із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. Про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поєднання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різних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форм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батькам треба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зазначати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заяві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0926D54D" w14:textId="77777777" w:rsidR="005C66FE" w:rsidRPr="00E36A08" w:rsidRDefault="005C66FE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</w:p>
    <w:p w14:paraId="31D19B14" w14:textId="77777777" w:rsidR="00E36A08" w:rsidRDefault="00E36A08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Індивідуальна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форма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залишається</w:t>
      </w:r>
      <w:proofErr w:type="spellEnd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bdr w:val="none" w:sz="0" w:space="0" w:color="auto" w:frame="1"/>
          <w:lang w:eastAsia="ru-RU"/>
        </w:rPr>
        <w:t>безоплатною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 для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батьків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вчителі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залучені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до занять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із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дитиною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отримуватимуть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доплату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відповідно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з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доданими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годинами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навантаження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p w14:paraId="51371945" w14:textId="77777777" w:rsidR="005C66FE" w:rsidRPr="00E36A08" w:rsidRDefault="005C66FE" w:rsidP="00E36A08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</w:p>
    <w:p w14:paraId="7B6E12B8" w14:textId="03CC5ECB" w:rsidR="00E83F63" w:rsidRPr="00BF105C" w:rsidRDefault="00E36A08" w:rsidP="00BF105C">
      <w:pPr>
        <w:spacing w:after="375" w:line="240" w:lineRule="auto"/>
        <w:ind w:left="-142" w:right="-284"/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</w:pPr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Ну й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наостанок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: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учні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які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навчаються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індивідуальній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формі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мають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право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брати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участь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олімпіадах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змаганнях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турнірах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та конкурсах на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загальних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підставах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.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Також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їх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можна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нагороджувати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похвальними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грамотами,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подяками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, золотою та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срібною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медалями за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успіхи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 xml:space="preserve"> в </w:t>
      </w:r>
      <w:proofErr w:type="spellStart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навчанні</w:t>
      </w:r>
      <w:proofErr w:type="spellEnd"/>
      <w:r w:rsidRPr="00E36A08">
        <w:rPr>
          <w:rFonts w:ascii="Times New Roman" w:eastAsia="Times New Roman" w:hAnsi="Times New Roman" w:cs="Times New Roman"/>
          <w:color w:val="141414"/>
          <w:sz w:val="32"/>
          <w:szCs w:val="32"/>
          <w:lang w:eastAsia="ru-RU"/>
        </w:rPr>
        <w:t>.</w:t>
      </w:r>
    </w:p>
    <w:sectPr w:rsidR="00E83F63" w:rsidRPr="00BF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2A5"/>
    <w:multiLevelType w:val="multilevel"/>
    <w:tmpl w:val="B45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3298"/>
    <w:multiLevelType w:val="hybridMultilevel"/>
    <w:tmpl w:val="39F8359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3C359E"/>
    <w:multiLevelType w:val="multilevel"/>
    <w:tmpl w:val="5902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07884"/>
    <w:multiLevelType w:val="multilevel"/>
    <w:tmpl w:val="58EC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A7C8C"/>
    <w:multiLevelType w:val="multilevel"/>
    <w:tmpl w:val="9D5C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B40D3"/>
    <w:multiLevelType w:val="multilevel"/>
    <w:tmpl w:val="3F3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478490">
    <w:abstractNumId w:val="2"/>
  </w:num>
  <w:num w:numId="2" w16cid:durableId="1304775940">
    <w:abstractNumId w:val="5"/>
  </w:num>
  <w:num w:numId="3" w16cid:durableId="1196886613">
    <w:abstractNumId w:val="4"/>
  </w:num>
  <w:num w:numId="4" w16cid:durableId="64493912">
    <w:abstractNumId w:val="3"/>
  </w:num>
  <w:num w:numId="5" w16cid:durableId="1488130736">
    <w:abstractNumId w:val="0"/>
  </w:num>
  <w:num w:numId="6" w16cid:durableId="116905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08"/>
    <w:rsid w:val="005C66FE"/>
    <w:rsid w:val="00BF105C"/>
    <w:rsid w:val="00E36A08"/>
    <w:rsid w:val="00E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56D5"/>
  <w15:chartTrackingRefBased/>
  <w15:docId w15:val="{5D1FCC99-6C4F-4BB6-88B9-EFB5769C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6A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6A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6A08"/>
    <w:rPr>
      <w:i/>
      <w:iCs/>
    </w:rPr>
  </w:style>
  <w:style w:type="character" w:styleId="a5">
    <w:name w:val="Hyperlink"/>
    <w:basedOn w:val="a0"/>
    <w:uiPriority w:val="99"/>
    <w:semiHidden/>
    <w:unhideWhenUsed/>
    <w:rsid w:val="00E36A08"/>
    <w:rPr>
      <w:color w:val="0000FF"/>
      <w:u w:val="single"/>
    </w:rPr>
  </w:style>
  <w:style w:type="character" w:styleId="a6">
    <w:name w:val="Strong"/>
    <w:basedOn w:val="a0"/>
    <w:uiPriority w:val="22"/>
    <w:qFormat/>
    <w:rsid w:val="00E36A08"/>
    <w:rPr>
      <w:b/>
      <w:bCs/>
    </w:rPr>
  </w:style>
  <w:style w:type="paragraph" w:styleId="a7">
    <w:name w:val="List Paragraph"/>
    <w:basedOn w:val="a"/>
    <w:uiPriority w:val="34"/>
    <w:qFormat/>
    <w:rsid w:val="00E3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184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3856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2024-11-14T11:04:00Z</cp:lastPrinted>
  <dcterms:created xsi:type="dcterms:W3CDTF">2023-09-26T18:58:00Z</dcterms:created>
  <dcterms:modified xsi:type="dcterms:W3CDTF">2024-11-14T11:09:00Z</dcterms:modified>
</cp:coreProperties>
</file>